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902"/>
      </w:tblGrid>
      <w:tr w:rsidR="004C2566" w:rsidRPr="001264C8" w14:paraId="0253E33D" w14:textId="77777777" w:rsidTr="00EB32EC">
        <w:tc>
          <w:tcPr>
            <w:tcW w:w="9062" w:type="dxa"/>
            <w:gridSpan w:val="2"/>
          </w:tcPr>
          <w:p w14:paraId="499DC1AA" w14:textId="6C88FF07" w:rsidR="004C2566" w:rsidRPr="00930AFA" w:rsidRDefault="004C2566" w:rsidP="00EC21B7">
            <w:pPr>
              <w:pStyle w:val="En-tte"/>
              <w:pBdr>
                <w:top w:val="single" w:sz="4" w:space="1" w:color="auto"/>
                <w:bottom w:val="single" w:sz="4" w:space="1" w:color="auto"/>
              </w:pBdr>
              <w:tabs>
                <w:tab w:val="clear" w:pos="4536"/>
                <w:tab w:val="clear" w:pos="9072"/>
                <w:tab w:val="left" w:pos="1453"/>
                <w:tab w:val="left" w:pos="28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d’entrée en vigueur :</w:t>
            </w:r>
            <w:r w:rsidR="00E600D3" w:rsidRPr="0093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41B67C1" w14:textId="24BB88E3" w:rsidR="004C2566" w:rsidRPr="00930AFA" w:rsidRDefault="004C2566" w:rsidP="00930AFA">
            <w:pPr>
              <w:pStyle w:val="En-tte"/>
              <w:pBdr>
                <w:top w:val="single" w:sz="4" w:space="1" w:color="auto"/>
                <w:bottom w:val="single" w:sz="4" w:space="1" w:color="auto"/>
              </w:pBdr>
              <w:tabs>
                <w:tab w:val="clear" w:pos="4536"/>
                <w:tab w:val="clear" w:pos="9072"/>
                <w:tab w:val="left" w:pos="1453"/>
                <w:tab w:val="left" w:pos="2864"/>
              </w:tabs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de mise à jour : </w:t>
            </w:r>
            <w:r w:rsidR="00E600D3" w:rsidRPr="0093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08E68B6" w14:textId="78BE5789" w:rsidR="004C2566" w:rsidRPr="00930AFA" w:rsidRDefault="004C2566" w:rsidP="00E40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A7" w:rsidRPr="001264C8" w14:paraId="5784145F" w14:textId="77777777" w:rsidTr="00EB32EC">
        <w:tc>
          <w:tcPr>
            <w:tcW w:w="2160" w:type="dxa"/>
          </w:tcPr>
          <w:p w14:paraId="3974B82E" w14:textId="579FA1CB" w:rsidR="009322A7" w:rsidRPr="00930AFA" w:rsidRDefault="009322A7" w:rsidP="009A7BC0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Objectifs</w:t>
            </w:r>
          </w:p>
        </w:tc>
        <w:tc>
          <w:tcPr>
            <w:tcW w:w="6902" w:type="dxa"/>
            <w:vAlign w:val="center"/>
          </w:tcPr>
          <w:p w14:paraId="16F887F2" w14:textId="6D995048" w:rsidR="00EC77C4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Cette politique a pour but d’assurer la conformité de </w:t>
            </w:r>
            <w:r w:rsidRPr="00930A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[nom de l’entreprise]</w:t>
            </w:r>
            <w:r w:rsidRPr="00930A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3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aux dispositions de la </w:t>
            </w:r>
            <w:r w:rsidRPr="00930A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Charte de la langue française</w:t>
            </w:r>
            <w:r w:rsidRPr="0093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concernant l’utilisation du français dans les technologies de l</w:t>
            </w:r>
            <w:r w:rsidR="00745DE1" w:rsidRPr="0093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93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="0039028F" w:rsidRPr="0093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des communications</w:t>
            </w:r>
            <w:r w:rsidRPr="0093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322A7" w:rsidRPr="001264C8" w14:paraId="39E39164" w14:textId="77777777" w:rsidTr="00EB32EC">
        <w:tc>
          <w:tcPr>
            <w:tcW w:w="2160" w:type="dxa"/>
          </w:tcPr>
          <w:p w14:paraId="010E68F7" w14:textId="495124BC" w:rsidR="009322A7" w:rsidRPr="00930AFA" w:rsidRDefault="009322A7" w:rsidP="009A7B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Portée</w:t>
            </w:r>
          </w:p>
        </w:tc>
        <w:tc>
          <w:tcPr>
            <w:tcW w:w="6902" w:type="dxa"/>
            <w:vAlign w:val="center"/>
          </w:tcPr>
          <w:p w14:paraId="455A7266" w14:textId="240F0FA3" w:rsidR="00EC77C4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L’équipement </w:t>
            </w:r>
            <w:bookmarkStart w:id="0" w:name="_GoBack"/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informatique </w:t>
            </w:r>
            <w:bookmarkEnd w:id="0"/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et les logiciels utilisés au Québec doivent être conformes à cette politique.</w:t>
            </w:r>
          </w:p>
        </w:tc>
      </w:tr>
      <w:tr w:rsidR="00121715" w:rsidRPr="001264C8" w14:paraId="7FFD6678" w14:textId="77777777" w:rsidTr="00EB32EC">
        <w:tc>
          <w:tcPr>
            <w:tcW w:w="2160" w:type="dxa"/>
          </w:tcPr>
          <w:p w14:paraId="6ED6459A" w14:textId="19FEE6E8" w:rsidR="00121715" w:rsidRPr="00930AFA" w:rsidRDefault="00121715" w:rsidP="009A7BC0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Cadre juridique</w:t>
            </w:r>
          </w:p>
        </w:tc>
        <w:tc>
          <w:tcPr>
            <w:tcW w:w="6902" w:type="dxa"/>
            <w:vAlign w:val="center"/>
          </w:tcPr>
          <w:p w14:paraId="2D39083A" w14:textId="390C2BB9" w:rsidR="00C41583" w:rsidRPr="00930AFA" w:rsidRDefault="00121715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30A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Charte de la langue française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prévoit à l’article</w:t>
            </w:r>
            <w:r w:rsidR="00745DE1" w:rsidRPr="00930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41 que l’entreprise doit respecter le droit des travailleurs et travailleuses d’exercer leurs activités en français. De plus, l’entreprise doit généraliser l’utilisation du français dans les technologies de l’information</w:t>
            </w:r>
            <w:r w:rsidR="00973850" w:rsidRPr="00930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conformément à l’article</w:t>
            </w:r>
            <w:r w:rsidR="00745DE1" w:rsidRPr="00930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141. </w:t>
            </w:r>
          </w:p>
        </w:tc>
      </w:tr>
      <w:tr w:rsidR="009322A7" w:rsidRPr="001264C8" w14:paraId="711B3F64" w14:textId="77777777" w:rsidTr="00EB32EC">
        <w:tc>
          <w:tcPr>
            <w:tcW w:w="2160" w:type="dxa"/>
          </w:tcPr>
          <w:p w14:paraId="6A4D771A" w14:textId="01185F15" w:rsidR="009322A7" w:rsidRPr="00930AFA" w:rsidRDefault="009322A7" w:rsidP="009A7B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Lignes directrices </w:t>
            </w:r>
          </w:p>
        </w:tc>
        <w:tc>
          <w:tcPr>
            <w:tcW w:w="6902" w:type="dxa"/>
            <w:vAlign w:val="center"/>
          </w:tcPr>
          <w:p w14:paraId="6EFE17C6" w14:textId="5EC2331F" w:rsidR="009322A7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Lorsqu</w:t>
            </w:r>
            <w:r w:rsidR="00E52D56" w:rsidRPr="00930A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l’équipement informatique et les logiciels </w:t>
            </w:r>
            <w:r w:rsidR="00490BA3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sont </w:t>
            </w:r>
            <w:r w:rsidR="00E52D56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disponibles en français, ils sont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installés et configurés en français </w:t>
            </w:r>
            <w:r w:rsidRPr="00930A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 défaut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CF2CC" w14:textId="4D8D2B6F" w:rsidR="00EC77C4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Afin de promouvoir l’utilisation des versions françaises des logiciels installés sur les postes de travail, des rappels </w:t>
            </w:r>
            <w:r w:rsidR="00490BA3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sont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faits régulièrement.</w:t>
            </w:r>
          </w:p>
        </w:tc>
      </w:tr>
      <w:tr w:rsidR="009322A7" w:rsidRPr="001264C8" w14:paraId="2802A056" w14:textId="77777777" w:rsidTr="00EB32EC">
        <w:tc>
          <w:tcPr>
            <w:tcW w:w="2160" w:type="dxa"/>
          </w:tcPr>
          <w:p w14:paraId="3D5BE3E0" w14:textId="0465196B" w:rsidR="009322A7" w:rsidRPr="00930AFA" w:rsidRDefault="009322A7" w:rsidP="009A7B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Exemption </w:t>
            </w:r>
          </w:p>
        </w:tc>
        <w:tc>
          <w:tcPr>
            <w:tcW w:w="6902" w:type="dxa"/>
            <w:vAlign w:val="center"/>
          </w:tcPr>
          <w:p w14:paraId="1A436EE9" w14:textId="1409A257" w:rsidR="00EC77C4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L’entreprise </w:t>
            </w:r>
            <w:r w:rsidR="00121715" w:rsidRPr="00930A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0BA3" w:rsidRPr="00930AFA">
              <w:rPr>
                <w:rFonts w:ascii="Times New Roman" w:hAnsi="Times New Roman" w:cs="Times New Roman"/>
                <w:sz w:val="24"/>
                <w:szCs w:val="24"/>
              </w:rPr>
              <w:t>’est</w:t>
            </w:r>
            <w:r w:rsidR="00121715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dot</w:t>
            </w:r>
            <w:r w:rsidR="00490BA3" w:rsidRPr="00930AF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A21162" w:rsidRPr="00930A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21715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de critères objectifs pour déterminer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les exemptions qui s’appliquent aux lignes directrices et les communique à son personnel.</w:t>
            </w:r>
          </w:p>
        </w:tc>
      </w:tr>
      <w:tr w:rsidR="009322A7" w:rsidRPr="001264C8" w14:paraId="71B75352" w14:textId="77777777" w:rsidTr="00EB32EC">
        <w:tc>
          <w:tcPr>
            <w:tcW w:w="2160" w:type="dxa"/>
          </w:tcPr>
          <w:p w14:paraId="07CDC5DB" w14:textId="485A9475" w:rsidR="009322A7" w:rsidRPr="00930AFA" w:rsidRDefault="00F82AC5" w:rsidP="009A7B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Acquisition</w:t>
            </w: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322A7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de maté</w:t>
            </w:r>
            <w:r w:rsidR="00615919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riel</w:t>
            </w:r>
            <w:r w:rsidR="00615919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322A7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informatique </w:t>
            </w:r>
          </w:p>
        </w:tc>
        <w:tc>
          <w:tcPr>
            <w:tcW w:w="6902" w:type="dxa"/>
            <w:vAlign w:val="center"/>
          </w:tcPr>
          <w:p w14:paraId="2D072181" w14:textId="41316DDD" w:rsidR="009322A7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Lors du remplacement du matériel informatique</w:t>
            </w:r>
            <w:r w:rsidR="00BA2DAC" w:rsidRPr="00930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61A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quel qu’il soit</w:t>
            </w:r>
            <w:r w:rsidR="006A0FFC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1B3" w:rsidRPr="00930AFA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entreprise </w:t>
            </w:r>
            <w:r w:rsidR="006A0FFC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veille à ce que </w:t>
            </w:r>
            <w:r w:rsidR="0067061A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les périphériques </w:t>
            </w:r>
            <w:r w:rsidR="006A0FFC" w:rsidRPr="00930AFA">
              <w:rPr>
                <w:rFonts w:ascii="Times New Roman" w:hAnsi="Times New Roman" w:cs="Times New Roman"/>
                <w:sz w:val="24"/>
                <w:szCs w:val="24"/>
              </w:rPr>
              <w:t>comportent</w:t>
            </w:r>
            <w:r w:rsidR="0067061A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des inscriptions</w:t>
            </w:r>
            <w:r w:rsidR="00BF6E68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6A0FFC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affichage électronique </w:t>
            </w:r>
            <w:r w:rsidR="00BF6E68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en français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="00BF6E68" w:rsidRPr="00930AFA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la documentation </w:t>
            </w:r>
            <w:r w:rsidR="00BF6E68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qui l’accompagne soit </w:t>
            </w:r>
            <w:r w:rsidR="005C17A6" w:rsidRPr="00930AFA">
              <w:rPr>
                <w:rFonts w:ascii="Times New Roman" w:hAnsi="Times New Roman" w:cs="Times New Roman"/>
                <w:sz w:val="24"/>
                <w:szCs w:val="24"/>
              </w:rPr>
              <w:t>égale</w:t>
            </w:r>
            <w:r w:rsidR="00F82AC5" w:rsidRPr="00930AF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C17A6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ment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en français.</w:t>
            </w:r>
          </w:p>
          <w:p w14:paraId="07D0D63B" w14:textId="4FBF9301" w:rsidR="009322A7" w:rsidRPr="00930AFA" w:rsidRDefault="005C17A6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De plus, l</w:t>
            </w:r>
            <w:r w:rsidR="00DC77CE" w:rsidRPr="00930AFA">
              <w:rPr>
                <w:rFonts w:ascii="Times New Roman" w:hAnsi="Times New Roman" w:cs="Times New Roman"/>
                <w:sz w:val="24"/>
                <w:szCs w:val="24"/>
              </w:rPr>
              <w:t>’entreprise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s’assur</w:t>
            </w:r>
            <w:r w:rsidR="00DC77CE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520EF5" w:rsidRPr="00930AFA">
              <w:rPr>
                <w:rFonts w:ascii="Times New Roman" w:hAnsi="Times New Roman" w:cs="Times New Roman"/>
                <w:sz w:val="24"/>
                <w:szCs w:val="24"/>
              </w:rPr>
              <w:t>que le</w:t>
            </w:r>
            <w:r w:rsidR="009322A7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nouveau matériel informatique </w:t>
            </w:r>
            <w:r w:rsidR="00520EF5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qu’elle achète </w:t>
            </w:r>
            <w:r w:rsidR="001660FD" w:rsidRPr="00930AFA">
              <w:rPr>
                <w:rFonts w:ascii="Times New Roman" w:hAnsi="Times New Roman" w:cs="Times New Roman"/>
                <w:sz w:val="24"/>
                <w:szCs w:val="24"/>
              </w:rPr>
              <w:t>peut produire</w:t>
            </w:r>
            <w:r w:rsidR="009322A7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tous les signes diacritiques du français.</w:t>
            </w:r>
          </w:p>
        </w:tc>
      </w:tr>
      <w:tr w:rsidR="009322A7" w:rsidRPr="001264C8" w14:paraId="47C634E9" w14:textId="77777777" w:rsidTr="00EB32EC">
        <w:tc>
          <w:tcPr>
            <w:tcW w:w="2160" w:type="dxa"/>
          </w:tcPr>
          <w:p w14:paraId="21047258" w14:textId="34A99A3B" w:rsidR="009322A7" w:rsidRPr="00930AFA" w:rsidRDefault="00615919" w:rsidP="009A7B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Acquisition</w:t>
            </w:r>
            <w:r w:rsidR="00EA3CC7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322A7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et développement</w:t>
            </w: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322A7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de logiciel</w:t>
            </w:r>
          </w:p>
        </w:tc>
        <w:tc>
          <w:tcPr>
            <w:tcW w:w="6902" w:type="dxa"/>
            <w:vAlign w:val="center"/>
          </w:tcPr>
          <w:p w14:paraId="55CA9152" w14:textId="77777777" w:rsidR="009322A7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L’entreprise favorise l’achat des versions françaises des logiciels.</w:t>
            </w:r>
          </w:p>
          <w:p w14:paraId="1DBCF4AE" w14:textId="6154DB0A" w:rsidR="000C2B43" w:rsidRPr="00930AFA" w:rsidRDefault="00490BA3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L’entreprise </w:t>
            </w:r>
            <w:r w:rsidR="00451FC4" w:rsidRPr="00930AFA">
              <w:rPr>
                <w:rFonts w:ascii="Times New Roman" w:hAnsi="Times New Roman" w:cs="Times New Roman"/>
                <w:sz w:val="24"/>
                <w:szCs w:val="24"/>
              </w:rPr>
              <w:t>installe l</w:t>
            </w:r>
            <w:r w:rsidR="000C2B43" w:rsidRPr="00930AFA">
              <w:rPr>
                <w:rFonts w:ascii="Times New Roman" w:hAnsi="Times New Roman" w:cs="Times New Roman"/>
                <w:sz w:val="24"/>
                <w:szCs w:val="24"/>
              </w:rPr>
              <w:t>es applications en français sur les portables, tablette</w:t>
            </w:r>
            <w:r w:rsidR="00352C7A" w:rsidRPr="00930A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2B43" w:rsidRPr="00930AFA">
              <w:rPr>
                <w:rFonts w:ascii="Times New Roman" w:hAnsi="Times New Roman" w:cs="Times New Roman"/>
                <w:sz w:val="24"/>
                <w:szCs w:val="24"/>
              </w:rPr>
              <w:t>, téléphone</w:t>
            </w:r>
            <w:r w:rsidR="00E405D4" w:rsidRPr="00930A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2B43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, etc. </w:t>
            </w:r>
          </w:p>
          <w:p w14:paraId="2687EE1A" w14:textId="51E0C9CD" w:rsidR="004C2566" w:rsidRPr="00930AFA" w:rsidRDefault="009322A7" w:rsidP="00EC21B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Le développement de logiciel</w:t>
            </w:r>
            <w:r w:rsidR="00E405D4" w:rsidRPr="00930A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maison </w:t>
            </w:r>
            <w:r w:rsidR="00F6513E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et la création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de contenu </w:t>
            </w:r>
            <w:r w:rsidR="00E405D4" w:rsidRPr="00930AF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eb par ou pour l’entreprise </w:t>
            </w:r>
            <w:r w:rsidR="00A64D83" w:rsidRPr="00930AFA">
              <w:rPr>
                <w:rFonts w:ascii="Times New Roman" w:hAnsi="Times New Roman" w:cs="Times New Roman"/>
                <w:sz w:val="24"/>
                <w:szCs w:val="24"/>
              </w:rPr>
              <w:t>se fon</w:t>
            </w:r>
            <w:r w:rsidR="006A77AE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en français lorsqu</w:t>
            </w:r>
            <w:r w:rsidR="006B67E6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00EE2" w:rsidRPr="00930A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B67E6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="00986859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logiciels </w:t>
            </w:r>
            <w:r w:rsidR="00E00EE2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ou le contenu </w:t>
            </w:r>
            <w:r w:rsidR="00A64D83" w:rsidRPr="00930AFA">
              <w:rPr>
                <w:rFonts w:ascii="Times New Roman" w:hAnsi="Times New Roman" w:cs="Times New Roman"/>
                <w:sz w:val="24"/>
                <w:szCs w:val="24"/>
              </w:rPr>
              <w:t>sont destinés à</w:t>
            </w:r>
            <w:r w:rsidR="00627A8E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des</w:t>
            </w:r>
            <w:r w:rsidR="00A64D83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0C9" w:rsidRPr="00930AFA">
              <w:rPr>
                <w:rFonts w:ascii="Times New Roman" w:hAnsi="Times New Roman" w:cs="Times New Roman"/>
                <w:sz w:val="24"/>
                <w:szCs w:val="24"/>
              </w:rPr>
              <w:t>personnes au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Québec.</w:t>
            </w:r>
          </w:p>
        </w:tc>
      </w:tr>
      <w:tr w:rsidR="00B97700" w:rsidRPr="001264C8" w14:paraId="2D052622" w14:textId="77777777" w:rsidTr="00EB32EC">
        <w:tc>
          <w:tcPr>
            <w:tcW w:w="2160" w:type="dxa"/>
          </w:tcPr>
          <w:p w14:paraId="3158C7F9" w14:textId="47EE77C8" w:rsidR="00B97700" w:rsidRPr="00930AFA" w:rsidRDefault="004F6353" w:rsidP="009A7BC0">
            <w:pPr>
              <w:widowControl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F82AC5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ôles</w:t>
            </w:r>
            <w:r w:rsidR="00F82AC5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et </w:t>
            </w:r>
            <w:r w:rsidR="00B97700" w:rsidRPr="00930AFA">
              <w:rPr>
                <w:rFonts w:ascii="Times New Roman" w:hAnsi="Times New Roman" w:cs="Times New Roman"/>
                <w:b/>
                <w:sz w:val="24"/>
                <w:szCs w:val="24"/>
              </w:rPr>
              <w:t>responsabilités </w:t>
            </w:r>
          </w:p>
        </w:tc>
        <w:tc>
          <w:tcPr>
            <w:tcW w:w="6902" w:type="dxa"/>
            <w:vAlign w:val="center"/>
          </w:tcPr>
          <w:p w14:paraId="6C118BDF" w14:textId="1F0CCCDC" w:rsidR="00B97700" w:rsidRPr="00930AFA" w:rsidRDefault="00B97700" w:rsidP="00EC21B7">
            <w:pPr>
              <w:pStyle w:val="pf0"/>
              <w:widowControl w:val="0"/>
              <w:spacing w:beforeAutospacing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930AFA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L</w:t>
            </w:r>
            <w:r w:rsidR="00745DE1" w:rsidRPr="00930AFA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’</w:t>
            </w:r>
            <w:r w:rsidRPr="00930AFA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employé utilise le matériel informatique ainsi que les logiciels en français.</w:t>
            </w:r>
          </w:p>
          <w:p w14:paraId="055D477F" w14:textId="5A4FE032" w:rsidR="004F6353" w:rsidRPr="00930AFA" w:rsidRDefault="00B97700" w:rsidP="00EC21B7">
            <w:pPr>
              <w:widowControl w:val="0"/>
              <w:suppressAutoHyphens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L’entreprise prom</w:t>
            </w:r>
            <w:r w:rsidR="00352C7A" w:rsidRPr="00930AFA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r w:rsidR="00490BA3" w:rsidRPr="00930AF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745DE1" w:rsidRPr="00930AF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utilisation des versions françaises de façon à en généraliser l</w:t>
            </w:r>
            <w:r w:rsidR="00745DE1" w:rsidRPr="00930AF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utilisation par l</w:t>
            </w:r>
            <w:r w:rsidR="00745DE1" w:rsidRPr="00930AF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>ensemble de son personnel</w:t>
            </w:r>
            <w:r w:rsidR="004F6353" w:rsidRPr="0093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C5993" w14:textId="06E4AFEA" w:rsidR="00251BBA" w:rsidRPr="00930AFA" w:rsidRDefault="004F6353" w:rsidP="00EC21B7">
            <w:pPr>
              <w:widowControl w:val="0"/>
              <w:suppressAutoHyphens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Le personnel </w:t>
            </w:r>
            <w:r w:rsidR="000C5F54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des technologies de l’information et des communications </w:t>
            </w:r>
            <w:r w:rsidR="00CA0D0F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assure le respect de la </w:t>
            </w:r>
            <w:r w:rsidR="00A43D07" w:rsidRPr="00930A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A0D0F" w:rsidRPr="00930AFA">
              <w:rPr>
                <w:rFonts w:ascii="Times New Roman" w:hAnsi="Times New Roman" w:cs="Times New Roman"/>
                <w:sz w:val="24"/>
                <w:szCs w:val="24"/>
              </w:rPr>
              <w:t>olitique auprès des</w:t>
            </w:r>
            <w:r w:rsidR="000E4804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utilisateurs et utilisatrices</w:t>
            </w:r>
            <w:r w:rsidR="00CA0D0F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4804" w:rsidRPr="00930AFA">
              <w:rPr>
                <w:rFonts w:ascii="Times New Roman" w:hAnsi="Times New Roman" w:cs="Times New Roman"/>
                <w:sz w:val="24"/>
                <w:szCs w:val="24"/>
              </w:rPr>
              <w:t>Il offr</w:t>
            </w:r>
            <w:r w:rsidR="00490BA3" w:rsidRPr="00930A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E4804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les formations en français et recommande </w:t>
            </w:r>
            <w:r w:rsidR="00A43D07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l’achat </w:t>
            </w:r>
            <w:r w:rsidR="00AD37EC" w:rsidRPr="00930AFA">
              <w:rPr>
                <w:rFonts w:ascii="Times New Roman" w:hAnsi="Times New Roman" w:cs="Times New Roman"/>
                <w:sz w:val="24"/>
                <w:szCs w:val="24"/>
              </w:rPr>
              <w:t>et l’utilisa</w:t>
            </w:r>
            <w:r w:rsidR="00EC21B7" w:rsidRPr="00930AF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D37EC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tion </w:t>
            </w:r>
            <w:r w:rsidR="000E4804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de logiciels en français </w:t>
            </w:r>
            <w:r w:rsidR="00A43D07" w:rsidRPr="00930AFA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615919" w:rsidRPr="00930AFA">
              <w:rPr>
                <w:rFonts w:ascii="Times New Roman" w:hAnsi="Times New Roman" w:cs="Times New Roman"/>
                <w:sz w:val="24"/>
                <w:szCs w:val="24"/>
              </w:rPr>
              <w:t xml:space="preserve"> sa direction.</w:t>
            </w:r>
          </w:p>
        </w:tc>
      </w:tr>
    </w:tbl>
    <w:p w14:paraId="5AA86CCE" w14:textId="77777777" w:rsidR="00AC4876" w:rsidRPr="001264C8" w:rsidRDefault="00AC4876" w:rsidP="00524D51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AC4876" w:rsidRPr="001264C8" w:rsidSect="00765B8C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DEF7" w14:textId="77777777" w:rsidR="00305142" w:rsidRDefault="00305142" w:rsidP="00EC77C4">
      <w:pPr>
        <w:spacing w:after="0" w:line="240" w:lineRule="auto"/>
      </w:pPr>
      <w:r>
        <w:separator/>
      </w:r>
    </w:p>
  </w:endnote>
  <w:endnote w:type="continuationSeparator" w:id="0">
    <w:p w14:paraId="27A56AC3" w14:textId="77777777" w:rsidR="00305142" w:rsidRDefault="00305142" w:rsidP="00E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1683" w14:textId="5F7174B6" w:rsidR="0039028F" w:rsidRPr="00B9075A" w:rsidRDefault="00CF1E54" w:rsidP="00CF1E54">
    <w:pPr>
      <w:pStyle w:val="Pieddepage"/>
      <w:tabs>
        <w:tab w:val="clear" w:pos="4536"/>
      </w:tabs>
      <w:rPr>
        <w:rFonts w:ascii="Times New Roman" w:hAnsi="Times New Roman" w:cs="Times New Roman"/>
        <w:sz w:val="18"/>
      </w:rPr>
    </w:pPr>
    <w:r>
      <w:tab/>
    </w:r>
    <w:r w:rsidRPr="00B9075A">
      <w:rPr>
        <w:rFonts w:ascii="Times New Roman" w:hAnsi="Times New Roman" w:cs="Times New Roman"/>
        <w:sz w:val="18"/>
      </w:rPr>
      <w:fldChar w:fldCharType="begin"/>
    </w:r>
    <w:r w:rsidRPr="00B9075A">
      <w:rPr>
        <w:rFonts w:ascii="Times New Roman" w:hAnsi="Times New Roman" w:cs="Times New Roman"/>
        <w:sz w:val="18"/>
      </w:rPr>
      <w:instrText xml:space="preserve"> PAGE   \* MERGEFORMAT </w:instrText>
    </w:r>
    <w:r w:rsidRPr="00B9075A">
      <w:rPr>
        <w:rFonts w:ascii="Times New Roman" w:hAnsi="Times New Roman" w:cs="Times New Roman"/>
        <w:sz w:val="18"/>
      </w:rPr>
      <w:fldChar w:fldCharType="separate"/>
    </w:r>
    <w:r w:rsidR="00765B8C">
      <w:rPr>
        <w:rFonts w:ascii="Times New Roman" w:hAnsi="Times New Roman" w:cs="Times New Roman"/>
        <w:noProof/>
        <w:sz w:val="18"/>
      </w:rPr>
      <w:t>1</w:t>
    </w:r>
    <w:r w:rsidRPr="00B9075A">
      <w:rPr>
        <w:rFonts w:ascii="Times New Roman" w:hAnsi="Times New Roman" w:cs="Times New Roman"/>
        <w:sz w:val="18"/>
      </w:rPr>
      <w:fldChar w:fldCharType="end"/>
    </w:r>
    <w:r w:rsidRPr="00B9075A">
      <w:rPr>
        <w:rFonts w:ascii="Times New Roman" w:hAnsi="Times New Roman" w:cs="Times New Roman"/>
        <w:sz w:val="18"/>
      </w:rPr>
      <w:t xml:space="preserve"> de </w:t>
    </w:r>
    <w:r w:rsidRPr="00B9075A">
      <w:rPr>
        <w:rFonts w:ascii="Times New Roman" w:hAnsi="Times New Roman" w:cs="Times New Roman"/>
        <w:sz w:val="18"/>
      </w:rPr>
      <w:fldChar w:fldCharType="begin"/>
    </w:r>
    <w:r w:rsidRPr="00B9075A">
      <w:rPr>
        <w:rFonts w:ascii="Times New Roman" w:hAnsi="Times New Roman" w:cs="Times New Roman"/>
        <w:sz w:val="18"/>
      </w:rPr>
      <w:instrText xml:space="preserve"> NUMPAGES   \* MERGEFORMAT </w:instrText>
    </w:r>
    <w:r w:rsidRPr="00B9075A">
      <w:rPr>
        <w:rFonts w:ascii="Times New Roman" w:hAnsi="Times New Roman" w:cs="Times New Roman"/>
        <w:sz w:val="18"/>
      </w:rPr>
      <w:fldChar w:fldCharType="separate"/>
    </w:r>
    <w:r w:rsidR="00765B8C">
      <w:rPr>
        <w:rFonts w:ascii="Times New Roman" w:hAnsi="Times New Roman" w:cs="Times New Roman"/>
        <w:noProof/>
        <w:sz w:val="18"/>
      </w:rPr>
      <w:t>1</w:t>
    </w:r>
    <w:r w:rsidRPr="00B9075A">
      <w:rPr>
        <w:rFonts w:ascii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91197" w14:textId="77777777" w:rsidR="00305142" w:rsidRDefault="00305142" w:rsidP="00EC77C4">
      <w:pPr>
        <w:spacing w:after="0" w:line="240" w:lineRule="auto"/>
      </w:pPr>
      <w:r>
        <w:separator/>
      </w:r>
    </w:p>
  </w:footnote>
  <w:footnote w:type="continuationSeparator" w:id="0">
    <w:p w14:paraId="06FAB426" w14:textId="77777777" w:rsidR="00305142" w:rsidRDefault="00305142" w:rsidP="00EC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5980" w14:textId="77777777" w:rsidR="00E40954" w:rsidRPr="001264C8" w:rsidRDefault="00E40954" w:rsidP="0039028F">
    <w:pPr>
      <w:spacing w:after="0" w:line="240" w:lineRule="auto"/>
      <w:jc w:val="center"/>
      <w:rPr>
        <w:rFonts w:ascii="Times New Roman" w:hAnsi="Times New Roman" w:cs="Times New Roman"/>
        <w:b/>
        <w:sz w:val="28"/>
      </w:rPr>
    </w:pPr>
    <w:r w:rsidRPr="001264C8">
      <w:rPr>
        <w:rFonts w:ascii="Times New Roman" w:hAnsi="Times New Roman" w:cs="Times New Roman"/>
        <w:b/>
        <w:sz w:val="28"/>
      </w:rPr>
      <w:t>Modèle de p</w:t>
    </w:r>
    <w:r w:rsidR="00F14BD9" w:rsidRPr="001264C8">
      <w:rPr>
        <w:rFonts w:ascii="Times New Roman" w:hAnsi="Times New Roman" w:cs="Times New Roman"/>
        <w:b/>
        <w:sz w:val="28"/>
      </w:rPr>
      <w:t>oli</w:t>
    </w:r>
    <w:r w:rsidRPr="001264C8">
      <w:rPr>
        <w:rFonts w:ascii="Times New Roman" w:hAnsi="Times New Roman" w:cs="Times New Roman"/>
        <w:b/>
        <w:sz w:val="28"/>
      </w:rPr>
      <w:t>tique d’utilisation du français</w:t>
    </w:r>
  </w:p>
  <w:p w14:paraId="3746A751" w14:textId="42774189" w:rsidR="00EC77C4" w:rsidRPr="001264C8" w:rsidRDefault="00F14BD9" w:rsidP="00930AFA">
    <w:pPr>
      <w:spacing w:after="360" w:line="240" w:lineRule="auto"/>
      <w:jc w:val="center"/>
      <w:rPr>
        <w:rFonts w:ascii="Times New Roman" w:hAnsi="Times New Roman" w:cs="Times New Roman"/>
        <w:b/>
        <w:sz w:val="28"/>
      </w:rPr>
    </w:pPr>
    <w:r w:rsidRPr="001264C8">
      <w:rPr>
        <w:rFonts w:ascii="Times New Roman" w:hAnsi="Times New Roman" w:cs="Times New Roman"/>
        <w:b/>
        <w:sz w:val="28"/>
      </w:rPr>
      <w:t>dans le</w:t>
    </w:r>
    <w:r w:rsidR="00524D51" w:rsidRPr="001264C8">
      <w:rPr>
        <w:rFonts w:ascii="Times New Roman" w:hAnsi="Times New Roman" w:cs="Times New Roman"/>
        <w:b/>
        <w:sz w:val="28"/>
      </w:rPr>
      <w:t>s technologies de l’information</w:t>
    </w:r>
    <w:r w:rsidR="00E40954" w:rsidRPr="001264C8">
      <w:rPr>
        <w:rFonts w:ascii="Times New Roman" w:hAnsi="Times New Roman" w:cs="Times New Roman"/>
        <w:b/>
        <w:sz w:val="28"/>
      </w:rPr>
      <w:t xml:space="preserve"> </w:t>
    </w:r>
    <w:r w:rsidRPr="001264C8">
      <w:rPr>
        <w:rFonts w:ascii="Times New Roman" w:hAnsi="Times New Roman" w:cs="Times New Roman"/>
        <w:b/>
        <w:sz w:val="28"/>
      </w:rPr>
      <w:t>et des communications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107"/>
    <w:multiLevelType w:val="hybridMultilevel"/>
    <w:tmpl w:val="C4464766"/>
    <w:lvl w:ilvl="0" w:tplc="9526410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237"/>
    <w:multiLevelType w:val="hybridMultilevel"/>
    <w:tmpl w:val="33DA83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549C"/>
    <w:multiLevelType w:val="hybridMultilevel"/>
    <w:tmpl w:val="7CEE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279D"/>
    <w:multiLevelType w:val="hybridMultilevel"/>
    <w:tmpl w:val="CCE4DD9A"/>
    <w:lvl w:ilvl="0" w:tplc="9526410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25F76"/>
    <w:multiLevelType w:val="hybridMultilevel"/>
    <w:tmpl w:val="F1DE72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CD7064"/>
    <w:multiLevelType w:val="hybridMultilevel"/>
    <w:tmpl w:val="ED4E6290"/>
    <w:lvl w:ilvl="0" w:tplc="9526410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66FFC"/>
    <w:multiLevelType w:val="hybridMultilevel"/>
    <w:tmpl w:val="E2C07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A7"/>
    <w:rsid w:val="000021B3"/>
    <w:rsid w:val="000375AA"/>
    <w:rsid w:val="000C2B43"/>
    <w:rsid w:val="000C5F54"/>
    <w:rsid w:val="000E4804"/>
    <w:rsid w:val="00121715"/>
    <w:rsid w:val="001264C8"/>
    <w:rsid w:val="0014153A"/>
    <w:rsid w:val="0016358A"/>
    <w:rsid w:val="0016572C"/>
    <w:rsid w:val="001660FD"/>
    <w:rsid w:val="00243113"/>
    <w:rsid w:val="00251BBA"/>
    <w:rsid w:val="00292373"/>
    <w:rsid w:val="002E5943"/>
    <w:rsid w:val="00305142"/>
    <w:rsid w:val="003502EC"/>
    <w:rsid w:val="00352C7A"/>
    <w:rsid w:val="0039028F"/>
    <w:rsid w:val="00442CA9"/>
    <w:rsid w:val="00451FC4"/>
    <w:rsid w:val="00490BA3"/>
    <w:rsid w:val="004B7F41"/>
    <w:rsid w:val="004C2566"/>
    <w:rsid w:val="004C50C9"/>
    <w:rsid w:val="004F6353"/>
    <w:rsid w:val="005204D7"/>
    <w:rsid w:val="00520EF5"/>
    <w:rsid w:val="00524D51"/>
    <w:rsid w:val="005B32CF"/>
    <w:rsid w:val="005C17A6"/>
    <w:rsid w:val="005D2067"/>
    <w:rsid w:val="005F280D"/>
    <w:rsid w:val="00600773"/>
    <w:rsid w:val="006140E7"/>
    <w:rsid w:val="00615919"/>
    <w:rsid w:val="00627A8E"/>
    <w:rsid w:val="00646373"/>
    <w:rsid w:val="0067061A"/>
    <w:rsid w:val="006A0FFC"/>
    <w:rsid w:val="006A56BA"/>
    <w:rsid w:val="006A77AE"/>
    <w:rsid w:val="006B5C3F"/>
    <w:rsid w:val="006B66E4"/>
    <w:rsid w:val="006B67E6"/>
    <w:rsid w:val="006F0BB7"/>
    <w:rsid w:val="00727900"/>
    <w:rsid w:val="00745DE1"/>
    <w:rsid w:val="00765B8C"/>
    <w:rsid w:val="00770C88"/>
    <w:rsid w:val="00775CFF"/>
    <w:rsid w:val="008F0F02"/>
    <w:rsid w:val="00901B80"/>
    <w:rsid w:val="00930AFA"/>
    <w:rsid w:val="009322A7"/>
    <w:rsid w:val="00957FD5"/>
    <w:rsid w:val="00973850"/>
    <w:rsid w:val="00986859"/>
    <w:rsid w:val="009A7BC0"/>
    <w:rsid w:val="00A21162"/>
    <w:rsid w:val="00A43D07"/>
    <w:rsid w:val="00A46014"/>
    <w:rsid w:val="00A51944"/>
    <w:rsid w:val="00A53699"/>
    <w:rsid w:val="00A54315"/>
    <w:rsid w:val="00A64D83"/>
    <w:rsid w:val="00AC4876"/>
    <w:rsid w:val="00AD37EC"/>
    <w:rsid w:val="00B21A8B"/>
    <w:rsid w:val="00B22448"/>
    <w:rsid w:val="00B46E4C"/>
    <w:rsid w:val="00B84F17"/>
    <w:rsid w:val="00B9075A"/>
    <w:rsid w:val="00B97700"/>
    <w:rsid w:val="00BA2DAC"/>
    <w:rsid w:val="00BF6E68"/>
    <w:rsid w:val="00C41583"/>
    <w:rsid w:val="00CA0D0F"/>
    <w:rsid w:val="00CE4AC3"/>
    <w:rsid w:val="00CF1E54"/>
    <w:rsid w:val="00D26F4C"/>
    <w:rsid w:val="00DA28BE"/>
    <w:rsid w:val="00DA7F7C"/>
    <w:rsid w:val="00DC63B0"/>
    <w:rsid w:val="00DC77CE"/>
    <w:rsid w:val="00E00EE2"/>
    <w:rsid w:val="00E13EA6"/>
    <w:rsid w:val="00E31EA9"/>
    <w:rsid w:val="00E405D4"/>
    <w:rsid w:val="00E40954"/>
    <w:rsid w:val="00E52D56"/>
    <w:rsid w:val="00E600D3"/>
    <w:rsid w:val="00E63DAC"/>
    <w:rsid w:val="00E67AF0"/>
    <w:rsid w:val="00EA3CC7"/>
    <w:rsid w:val="00EB32EC"/>
    <w:rsid w:val="00EC21B7"/>
    <w:rsid w:val="00EC77C4"/>
    <w:rsid w:val="00F14BD9"/>
    <w:rsid w:val="00F6513E"/>
    <w:rsid w:val="00F82AC5"/>
    <w:rsid w:val="00FA0CFA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E722CE"/>
  <w15:chartTrackingRefBased/>
  <w15:docId w15:val="{CB0D6870-8E35-48C7-A10A-01CC54FA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22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fr-CA"/>
      <w14:ligatures w14:val="none"/>
    </w:rPr>
  </w:style>
  <w:style w:type="paragraph" w:customStyle="1" w:styleId="pf0">
    <w:name w:val="pf0"/>
    <w:basedOn w:val="Normal"/>
    <w:rsid w:val="0093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customStyle="1" w:styleId="cf01">
    <w:name w:val="cf01"/>
    <w:basedOn w:val="Policepardfaut"/>
    <w:rsid w:val="009322A7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7C4"/>
  </w:style>
  <w:style w:type="paragraph" w:styleId="Pieddepage">
    <w:name w:val="footer"/>
    <w:basedOn w:val="Normal"/>
    <w:link w:val="PieddepageCar"/>
    <w:uiPriority w:val="99"/>
    <w:unhideWhenUsed/>
    <w:rsid w:val="00EC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7C4"/>
  </w:style>
  <w:style w:type="paragraph" w:styleId="Rvision">
    <w:name w:val="Revision"/>
    <w:hidden/>
    <w:uiPriority w:val="99"/>
    <w:semiHidden/>
    <w:rsid w:val="00A2116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460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60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60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0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0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2AB285D76B64192A0A8CD50243287" ma:contentTypeVersion="13" ma:contentTypeDescription="Crée un document." ma:contentTypeScope="" ma:versionID="5b602314e963a7dd7db311395f4edcd9">
  <xsd:schema xmlns:xsd="http://www.w3.org/2001/XMLSchema" xmlns:xs="http://www.w3.org/2001/XMLSchema" xmlns:p="http://schemas.microsoft.com/office/2006/metadata/properties" xmlns:ns2="a969d00f-6ad1-4de1-b563-4b8a9b10bf05" xmlns:ns3="db13c5fe-6b4a-47dd-abc3-3400ea89203c" targetNamespace="http://schemas.microsoft.com/office/2006/metadata/properties" ma:root="true" ma:fieldsID="d1ab11439a1f1d7d79f77a184a252420" ns2:_="" ns3:_="">
    <xsd:import namespace="a969d00f-6ad1-4de1-b563-4b8a9b10bf05"/>
    <xsd:import namespace="db13c5fe-6b4a-47dd-abc3-3400ea892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9d00f-6ad1-4de1-b563-4b8a9b10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8c818cc7-e8b1-48bc-beb0-16371888b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5fe-6b4a-47dd-abc3-3400ea892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9d00f-6ad1-4de1-b563-4b8a9b10bf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41B0-A760-42E2-9743-2A24D7E24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9d00f-6ad1-4de1-b563-4b8a9b10bf05"/>
    <ds:schemaRef ds:uri="db13c5fe-6b4a-47dd-abc3-3400ea89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D420C-4A0A-44C0-8BBE-20472A41D6A5}">
  <ds:schemaRefs>
    <ds:schemaRef ds:uri="http://purl.org/dc/elements/1.1/"/>
    <ds:schemaRef ds:uri="http://schemas.microsoft.com/office/2006/metadata/properties"/>
    <ds:schemaRef ds:uri="db13c5fe-6b4a-47dd-abc3-3400ea89203c"/>
    <ds:schemaRef ds:uri="http://schemas.microsoft.com/office/infopath/2007/PartnerControls"/>
    <ds:schemaRef ds:uri="http://purl.org/dc/terms/"/>
    <ds:schemaRef ds:uri="http://schemas.microsoft.com/office/2006/documentManagement/types"/>
    <ds:schemaRef ds:uri="a969d00f-6ad1-4de1-b563-4b8a9b10bf0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D4C5C-1E41-4087-87AF-0EFDCE6FE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97862-5A1A-4E07-B929-5628F30E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politique d’utilisation du français dans les technologies de l’information et des communications</vt:lpstr>
    </vt:vector>
  </TitlesOfParts>
  <Manager>Dominique Carpentier et André Michaud</Manager>
  <Company>OQLF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politique d’utilisation du français dans les technologies de l’information et des communications</dc:title>
  <dc:subject>Modèle de politique d’utilisation du français dans les technologies de l’information et des communications</dc:subject>
  <dc:creator>OQLF</dc:creator>
  <cp:keywords/>
  <dc:description/>
  <cp:lastModifiedBy>Carpentier Dominique</cp:lastModifiedBy>
  <cp:revision>4</cp:revision>
  <cp:lastPrinted>2024-04-08T13:53:00Z</cp:lastPrinted>
  <dcterms:created xsi:type="dcterms:W3CDTF">2024-04-09T20:08:00Z</dcterms:created>
  <dcterms:modified xsi:type="dcterms:W3CDTF">2024-04-12T12:00:00Z</dcterms:modified>
  <cp:category>Modèle;politique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te">
    <vt:lpwstr>49;#1867 Révision linguistique et traduction|273a2fd4-6c94-44c9-96db-98a70f3d0a43</vt:lpwstr>
  </property>
  <property fmtid="{D5CDD505-2E9C-101B-9397-08002B2CF9AE}" pid="3" name="MediaServiceImageTags">
    <vt:lpwstr/>
  </property>
  <property fmtid="{D5CDD505-2E9C-101B-9397-08002B2CF9AE}" pid="4" name="ContentTypeId">
    <vt:lpwstr>0x010100BC72AB285D76B64192A0A8CD50243287</vt:lpwstr>
  </property>
  <property fmtid="{D5CDD505-2E9C-101B-9397-08002B2CF9AE}" pid="5" name="TaxCatchAll">
    <vt:lpwstr>49;#1867 Révision linguistique et traduction|273a2fd4-6c94-44c9-96db-98a70f3d0a43</vt:lpwstr>
  </property>
  <property fmtid="{D5CDD505-2E9C-101B-9397-08002B2CF9AE}" pid="6" name="j4ab135c76a240ddb8bdd90ee523743d">
    <vt:lpwstr>1867 Révision linguistique et traduction|273a2fd4-6c94-44c9-96db-98a70f3d0a43</vt:lpwstr>
  </property>
</Properties>
</file>